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0FCC" w14:textId="77777777" w:rsidR="000351D3" w:rsidRDefault="00AA65CC" w:rsidP="000351D3">
      <w:pPr>
        <w:spacing w:after="0" w:line="240" w:lineRule="auto"/>
        <w:ind w:firstLine="709"/>
        <w:jc w:val="both"/>
        <w:rPr>
          <w:rFonts w:ascii="Times New Roman" w:hAnsi="Times New Roman" w:cs="Times New Roman"/>
          <w:b/>
          <w:bCs/>
          <w:sz w:val="28"/>
          <w:szCs w:val="28"/>
        </w:rPr>
      </w:pPr>
      <w:r w:rsidRPr="000351D3">
        <w:rPr>
          <w:rFonts w:ascii="Times New Roman" w:hAnsi="Times New Roman" w:cs="Times New Roman"/>
          <w:b/>
          <w:bCs/>
          <w:sz w:val="28"/>
          <w:szCs w:val="28"/>
        </w:rPr>
        <w:t>Программа экзаменационной сессии и Рубрикатор по предмету</w:t>
      </w:r>
      <w:r w:rsidR="002130C6" w:rsidRPr="000351D3">
        <w:rPr>
          <w:rFonts w:ascii="Times New Roman" w:hAnsi="Times New Roman" w:cs="Times New Roman"/>
          <w:b/>
          <w:bCs/>
          <w:sz w:val="28"/>
          <w:szCs w:val="28"/>
        </w:rPr>
        <w:t>:-</w:t>
      </w:r>
      <w:r w:rsidRPr="000351D3">
        <w:rPr>
          <w:rFonts w:ascii="Times New Roman" w:hAnsi="Times New Roman" w:cs="Times New Roman"/>
          <w:b/>
          <w:bCs/>
          <w:sz w:val="28"/>
          <w:szCs w:val="28"/>
        </w:rPr>
        <w:t xml:space="preserve"> </w:t>
      </w:r>
      <w:r w:rsidR="000351D3">
        <w:rPr>
          <w:rFonts w:ascii="Times New Roman" w:hAnsi="Times New Roman" w:cs="Times New Roman"/>
          <w:b/>
          <w:bCs/>
          <w:sz w:val="28"/>
          <w:szCs w:val="28"/>
        </w:rPr>
        <w:t xml:space="preserve">Микроволновая электроника в </w:t>
      </w:r>
      <w:r w:rsidRPr="000351D3">
        <w:rPr>
          <w:rFonts w:ascii="Times New Roman" w:hAnsi="Times New Roman" w:cs="Times New Roman"/>
          <w:b/>
          <w:bCs/>
          <w:sz w:val="28"/>
          <w:szCs w:val="28"/>
        </w:rPr>
        <w:t>систем</w:t>
      </w:r>
      <w:r w:rsidR="000351D3">
        <w:rPr>
          <w:rFonts w:ascii="Times New Roman" w:hAnsi="Times New Roman" w:cs="Times New Roman"/>
          <w:b/>
          <w:bCs/>
          <w:sz w:val="28"/>
          <w:szCs w:val="28"/>
        </w:rPr>
        <w:t>ах</w:t>
      </w:r>
      <w:r w:rsidRPr="000351D3">
        <w:rPr>
          <w:rFonts w:ascii="Times New Roman" w:hAnsi="Times New Roman" w:cs="Times New Roman"/>
          <w:b/>
          <w:bCs/>
          <w:sz w:val="28"/>
          <w:szCs w:val="28"/>
        </w:rPr>
        <w:t xml:space="preserve"> </w:t>
      </w:r>
    </w:p>
    <w:p w14:paraId="20E245A0" w14:textId="3004E662" w:rsidR="0095425B" w:rsidRPr="000351D3" w:rsidRDefault="000351D3" w:rsidP="000351D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65CC" w:rsidRPr="000351D3">
        <w:rPr>
          <w:rFonts w:ascii="Times New Roman" w:hAnsi="Times New Roman" w:cs="Times New Roman"/>
          <w:b/>
          <w:bCs/>
          <w:sz w:val="28"/>
          <w:szCs w:val="28"/>
        </w:rPr>
        <w:t>связи</w:t>
      </w:r>
    </w:p>
    <w:p w14:paraId="3A4619C4" w14:textId="77777777" w:rsidR="004C0E85" w:rsidRPr="000351D3" w:rsidRDefault="004C0E85" w:rsidP="000351D3">
      <w:pPr>
        <w:spacing w:after="0" w:line="240" w:lineRule="auto"/>
        <w:ind w:firstLine="709"/>
        <w:jc w:val="both"/>
        <w:rPr>
          <w:rFonts w:ascii="Times New Roman" w:hAnsi="Times New Roman" w:cs="Times New Roman"/>
          <w:b/>
          <w:bCs/>
          <w:sz w:val="28"/>
          <w:szCs w:val="28"/>
        </w:rPr>
      </w:pPr>
    </w:p>
    <w:p w14:paraId="649F93B5" w14:textId="24432986" w:rsidR="00AA65CC" w:rsidRPr="000351D3" w:rsidRDefault="00AA65CC"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Стандартные экзаменационные</w:t>
      </w:r>
      <w:r w:rsidR="004C0E85" w:rsidRPr="000351D3">
        <w:rPr>
          <w:rFonts w:ascii="Times New Roman" w:hAnsi="Times New Roman" w:cs="Times New Roman"/>
          <w:sz w:val="28"/>
          <w:szCs w:val="28"/>
        </w:rPr>
        <w:t xml:space="preserve"> вопросы по блочно на пятнадцать недель согласно программы изучения предмета:</w:t>
      </w:r>
    </w:p>
    <w:p w14:paraId="0D267998" w14:textId="038ABC8A"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1-</w:t>
      </w:r>
      <w:r w:rsidRPr="000351D3">
        <w:rPr>
          <w:rFonts w:ascii="Times New Roman" w:hAnsi="Times New Roman" w:cs="Times New Roman"/>
          <w:color w:val="000000"/>
          <w:sz w:val="28"/>
          <w:szCs w:val="28"/>
        </w:rPr>
        <w:t xml:space="preserve"> </w:t>
      </w:r>
      <w:r w:rsidR="00BF074F" w:rsidRPr="000351D3">
        <w:rPr>
          <w:rFonts w:ascii="Times New Roman" w:hAnsi="Times New Roman" w:cs="Times New Roman"/>
          <w:color w:val="000000"/>
          <w:sz w:val="28"/>
          <w:szCs w:val="28"/>
        </w:rPr>
        <w:t>Т</w:t>
      </w:r>
      <w:r w:rsidR="00BF074F" w:rsidRPr="000351D3">
        <w:rPr>
          <w:rFonts w:ascii="Times New Roman" w:hAnsi="Times New Roman" w:cs="Times New Roman"/>
          <w:sz w:val="28"/>
          <w:szCs w:val="28"/>
        </w:rPr>
        <w:t>ермины определения</w:t>
      </w:r>
      <w:r w:rsidR="00BF074F" w:rsidRPr="000351D3">
        <w:rPr>
          <w:rFonts w:ascii="Times New Roman" w:hAnsi="Times New Roman" w:cs="Times New Roman"/>
          <w:sz w:val="28"/>
          <w:szCs w:val="28"/>
          <w:lang w:val="kk-KZ" w:eastAsia="ko-KR"/>
        </w:rPr>
        <w:t xml:space="preserve"> микроволновой электроники в системе связи</w:t>
      </w:r>
    </w:p>
    <w:p w14:paraId="54A26AAD" w14:textId="08A4A954"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2- </w:t>
      </w:r>
      <w:r w:rsidR="00BF074F" w:rsidRPr="000351D3">
        <w:rPr>
          <w:rFonts w:ascii="Times New Roman" w:hAnsi="Times New Roman" w:cs="Times New Roman"/>
          <w:sz w:val="28"/>
          <w:szCs w:val="28"/>
        </w:rPr>
        <w:t>И</w:t>
      </w:r>
      <w:r w:rsidR="00BF074F" w:rsidRPr="000351D3">
        <w:rPr>
          <w:rFonts w:ascii="Times New Roman" w:hAnsi="Times New Roman" w:cs="Times New Roman"/>
          <w:sz w:val="28"/>
          <w:szCs w:val="28"/>
        </w:rPr>
        <w:t>нтегральные микросхемы (ИМС) и их классификация. Серии ИМС 11-20</w:t>
      </w:r>
    </w:p>
    <w:p w14:paraId="4C4BBA26" w14:textId="65D083F5"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3- </w:t>
      </w:r>
      <w:r w:rsidR="00BF074F" w:rsidRPr="000351D3">
        <w:rPr>
          <w:rFonts w:ascii="Times New Roman" w:hAnsi="Times New Roman" w:cs="Times New Roman"/>
          <w:sz w:val="28"/>
          <w:szCs w:val="28"/>
        </w:rPr>
        <w:t>Система обозначений ИМС. 21-26</w:t>
      </w:r>
    </w:p>
    <w:p w14:paraId="216D5EB8" w14:textId="08227317"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4- </w:t>
      </w:r>
      <w:r w:rsidR="00BF074F" w:rsidRPr="000351D3">
        <w:rPr>
          <w:rFonts w:ascii="Times New Roman" w:hAnsi="Times New Roman" w:cs="Times New Roman"/>
          <w:sz w:val="28"/>
          <w:szCs w:val="28"/>
        </w:rPr>
        <w:t>Активные элементы интегральных микросхем. Методы изоляции элементов</w:t>
      </w:r>
    </w:p>
    <w:p w14:paraId="0DB27E54" w14:textId="4354F1B8"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5-</w:t>
      </w:r>
      <w:r w:rsidR="00BF074F" w:rsidRPr="000351D3">
        <w:rPr>
          <w:rFonts w:ascii="Times New Roman" w:hAnsi="Times New Roman" w:cs="Times New Roman"/>
          <w:color w:val="000000" w:themeColor="text1"/>
          <w:sz w:val="28"/>
          <w:szCs w:val="28"/>
        </w:rPr>
        <w:t xml:space="preserve"> </w:t>
      </w:r>
      <w:r w:rsidR="00BF074F" w:rsidRPr="000351D3">
        <w:rPr>
          <w:rFonts w:ascii="Times New Roman" w:hAnsi="Times New Roman" w:cs="Times New Roman"/>
          <w:color w:val="000000" w:themeColor="text1"/>
          <w:sz w:val="28"/>
          <w:szCs w:val="28"/>
        </w:rPr>
        <w:t>Интегральные транзисторы.</w:t>
      </w:r>
    </w:p>
    <w:p w14:paraId="1A1457FD" w14:textId="1612A10B"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6- </w:t>
      </w:r>
      <w:r w:rsidR="00BF074F" w:rsidRPr="000351D3">
        <w:rPr>
          <w:rFonts w:ascii="Times New Roman" w:hAnsi="Times New Roman" w:cs="Times New Roman"/>
          <w:sz w:val="28"/>
          <w:szCs w:val="28"/>
        </w:rPr>
        <w:t>Интегральные диоды</w:t>
      </w:r>
    </w:p>
    <w:p w14:paraId="73A92A53" w14:textId="484AC956"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7- </w:t>
      </w:r>
      <w:r w:rsidR="00BF074F" w:rsidRPr="000351D3">
        <w:rPr>
          <w:rFonts w:ascii="Times New Roman" w:hAnsi="Times New Roman" w:cs="Times New Roman"/>
          <w:sz w:val="28"/>
          <w:szCs w:val="28"/>
        </w:rPr>
        <w:t>Транзисторные структуры специального назначения</w:t>
      </w:r>
    </w:p>
    <w:p w14:paraId="2053AF80" w14:textId="56CBE6BA"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8- </w:t>
      </w:r>
      <w:r w:rsidR="00BF074F" w:rsidRPr="000351D3">
        <w:rPr>
          <w:rFonts w:ascii="Times New Roman" w:hAnsi="Times New Roman" w:cs="Times New Roman"/>
          <w:sz w:val="28"/>
          <w:szCs w:val="28"/>
        </w:rPr>
        <w:t>Элементы полупроводниковых постоянных запоминающих устройств</w:t>
      </w:r>
    </w:p>
    <w:p w14:paraId="547D7DDD" w14:textId="66643A39"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9- </w:t>
      </w:r>
      <w:r w:rsidR="00BF074F" w:rsidRPr="000351D3">
        <w:rPr>
          <w:rFonts w:ascii="Times New Roman" w:hAnsi="Times New Roman" w:cs="Times New Roman"/>
          <w:sz w:val="28"/>
          <w:szCs w:val="28"/>
        </w:rPr>
        <w:t>Пассивные элементы интегральных схем</w:t>
      </w:r>
    </w:p>
    <w:p w14:paraId="32E9F506" w14:textId="718D655E"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10- </w:t>
      </w:r>
      <w:r w:rsidR="00BF074F" w:rsidRPr="000351D3">
        <w:rPr>
          <w:rFonts w:ascii="Times New Roman" w:hAnsi="Times New Roman" w:cs="Times New Roman"/>
          <w:sz w:val="28"/>
          <w:szCs w:val="28"/>
        </w:rPr>
        <w:t>Интегральные конденсаторы и индуктивности</w:t>
      </w:r>
    </w:p>
    <w:p w14:paraId="31952FD9" w14:textId="07F85957"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11- </w:t>
      </w:r>
      <w:r w:rsidR="00BF074F" w:rsidRPr="000351D3">
        <w:rPr>
          <w:rFonts w:ascii="Times New Roman" w:hAnsi="Times New Roman" w:cs="Times New Roman"/>
          <w:sz w:val="28"/>
          <w:szCs w:val="28"/>
        </w:rPr>
        <w:t>Коммутационные соединения</w:t>
      </w:r>
    </w:p>
    <w:p w14:paraId="17CFA520" w14:textId="040B1F49"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12- </w:t>
      </w:r>
      <w:r w:rsidR="00BF074F" w:rsidRPr="000351D3">
        <w:rPr>
          <w:rFonts w:ascii="Times New Roman" w:hAnsi="Times New Roman" w:cs="Times New Roman"/>
          <w:sz w:val="28"/>
          <w:szCs w:val="28"/>
        </w:rPr>
        <w:t>Современные тенденции в развитии микроэлектроники, закон Мура</w:t>
      </w:r>
    </w:p>
    <w:p w14:paraId="578DDDB9" w14:textId="3E3447E4"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13-</w:t>
      </w:r>
      <w:r w:rsidRPr="000351D3">
        <w:rPr>
          <w:rFonts w:ascii="Times New Roman" w:hAnsi="Times New Roman" w:cs="Times New Roman"/>
          <w:sz w:val="28"/>
          <w:szCs w:val="28"/>
          <w:lang w:val="kk-KZ"/>
        </w:rPr>
        <w:t xml:space="preserve"> </w:t>
      </w:r>
      <w:r w:rsidR="00BF074F" w:rsidRPr="000351D3">
        <w:rPr>
          <w:rFonts w:ascii="Times New Roman" w:hAnsi="Times New Roman" w:cs="Times New Roman"/>
          <w:sz w:val="28"/>
          <w:szCs w:val="28"/>
        </w:rPr>
        <w:t>Развитие технологий «Больше Мура».</w:t>
      </w:r>
    </w:p>
    <w:p w14:paraId="67CE9D5A" w14:textId="1615C86F" w:rsidR="004C0E85" w:rsidRPr="000351D3" w:rsidRDefault="004C0E85" w:rsidP="000351D3">
      <w:pP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14-</w:t>
      </w:r>
      <w:r w:rsidRPr="000351D3">
        <w:rPr>
          <w:rFonts w:ascii="Times New Roman" w:hAnsi="Times New Roman" w:cs="Times New Roman"/>
          <w:sz w:val="28"/>
          <w:szCs w:val="28"/>
          <w:lang w:val="kk-KZ"/>
        </w:rPr>
        <w:t xml:space="preserve"> </w:t>
      </w:r>
      <w:r w:rsidR="00BF074F" w:rsidRPr="000351D3">
        <w:rPr>
          <w:rFonts w:ascii="Times New Roman" w:hAnsi="Times New Roman" w:cs="Times New Roman"/>
          <w:sz w:val="28"/>
          <w:szCs w:val="28"/>
        </w:rPr>
        <w:t>Направленность «За пределами КМОП».ИМС диапазона СВЧ</w:t>
      </w:r>
    </w:p>
    <w:p w14:paraId="46B635A4" w14:textId="59E3A0F4" w:rsidR="004C0E85" w:rsidRPr="000351D3" w:rsidRDefault="004C0E85"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rPr>
        <w:t>15-</w:t>
      </w:r>
      <w:r w:rsidRPr="000351D3">
        <w:rPr>
          <w:rFonts w:ascii="Times New Roman" w:hAnsi="Times New Roman" w:cs="Times New Roman"/>
          <w:sz w:val="28"/>
          <w:szCs w:val="28"/>
          <w:lang w:val="kk-KZ"/>
        </w:rPr>
        <w:t xml:space="preserve"> </w:t>
      </w:r>
      <w:r w:rsidR="00BF074F" w:rsidRPr="000351D3">
        <w:rPr>
          <w:rFonts w:ascii="Times New Roman" w:hAnsi="Times New Roman" w:cs="Times New Roman"/>
          <w:sz w:val="28"/>
          <w:szCs w:val="28"/>
          <w:lang w:val="kk-KZ"/>
        </w:rPr>
        <w:t>Гетероструктуры в современной микроэлектронике</w:t>
      </w:r>
    </w:p>
    <w:p w14:paraId="55F965B2"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p>
    <w:p w14:paraId="3C48EE78"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b/>
          <w:bCs/>
          <w:color w:val="000000"/>
          <w:sz w:val="28"/>
          <w:szCs w:val="28"/>
        </w:rPr>
        <w:t xml:space="preserve">Литература: </w:t>
      </w:r>
      <w:r w:rsidRPr="000351D3">
        <w:rPr>
          <w:rFonts w:ascii="Times New Roman" w:hAnsi="Times New Roman" w:cs="Times New Roman"/>
          <w:color w:val="000000"/>
          <w:sz w:val="28"/>
          <w:szCs w:val="28"/>
        </w:rPr>
        <w:t>о</w:t>
      </w:r>
      <w:r w:rsidRPr="000351D3">
        <w:rPr>
          <w:rFonts w:ascii="Times New Roman" w:hAnsi="Times New Roman" w:cs="Times New Roman"/>
          <w:color w:val="000000" w:themeColor="text1"/>
          <w:sz w:val="28"/>
          <w:szCs w:val="28"/>
          <w:lang w:val="kk-KZ"/>
        </w:rPr>
        <w:t>сновная, дополнительная.</w:t>
      </w:r>
      <w:r w:rsidRPr="000351D3">
        <w:rPr>
          <w:rFonts w:ascii="Times New Roman" w:hAnsi="Times New Roman" w:cs="Times New Roman"/>
          <w:sz w:val="28"/>
          <w:szCs w:val="28"/>
          <w:lang w:val="kk-KZ"/>
        </w:rPr>
        <w:t xml:space="preserve"> </w:t>
      </w:r>
    </w:p>
    <w:p w14:paraId="54F149B5" w14:textId="77777777" w:rsidR="000351D3" w:rsidRPr="000351D3" w:rsidRDefault="000351D3" w:rsidP="000351D3">
      <w:pPr>
        <w:spacing w:after="0" w:line="240" w:lineRule="auto"/>
        <w:ind w:firstLine="709"/>
        <w:jc w:val="both"/>
        <w:rPr>
          <w:rFonts w:ascii="Times New Roman" w:hAnsi="Times New Roman" w:cs="Times New Roman"/>
          <w:bCs/>
          <w:color w:val="000000" w:themeColor="text1"/>
          <w:sz w:val="28"/>
          <w:szCs w:val="28"/>
          <w:shd w:val="clear" w:color="auto" w:fill="FFFFFF"/>
        </w:rPr>
      </w:pPr>
      <w:r w:rsidRPr="000351D3">
        <w:rPr>
          <w:rFonts w:ascii="Times New Roman" w:hAnsi="Times New Roman" w:cs="Times New Roman"/>
          <w:bCs/>
          <w:color w:val="000000" w:themeColor="text1"/>
          <w:sz w:val="28"/>
          <w:szCs w:val="28"/>
          <w:shd w:val="clear" w:color="auto" w:fill="FFFFFF"/>
        </w:rPr>
        <w:t xml:space="preserve">Привести не более 5-7 источников литературы с полным библиографическим описанием. </w:t>
      </w:r>
    </w:p>
    <w:p w14:paraId="47A595F8" w14:textId="77777777" w:rsidR="000351D3" w:rsidRPr="000351D3" w:rsidRDefault="000351D3" w:rsidP="000351D3">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1.Смоленцев, Н. И. Электроника СВЧ : учебное пособие / Н. И. Смоленцев. — Новосибирск: Сибирский государственный университет телекоммуникаций и информатики, 2018. — 137 c. — Текст : электронный // Цифровой образовательный ресурс IPR SMART : [сайт]. — </w:t>
      </w:r>
      <w:hyperlink r:id="rId6" w:history="1">
        <w:r w:rsidRPr="000351D3">
          <w:rPr>
            <w:rStyle w:val="a6"/>
            <w:rFonts w:ascii="Times New Roman" w:hAnsi="Times New Roman"/>
            <w:sz w:val="28"/>
            <w:szCs w:val="28"/>
          </w:rPr>
          <w:t>URL:https://www.iprbookshop.ru/90159.html</w:t>
        </w:r>
      </w:hyperlink>
    </w:p>
    <w:p w14:paraId="3677368B" w14:textId="77777777" w:rsidR="000351D3" w:rsidRPr="000351D3" w:rsidRDefault="000351D3" w:rsidP="000351D3">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2. Микрополосковые резонаторы и СВЧ-устройства на их основе: учебное пособие / Р. Г. Галеев, А. С. Волошин, И. В. Говорун, А. М. Сержантов. — Красноярск : Сибирский государственный университет науки и технологий имени академика М.Ф. Решетнева, 2020. — 166 c. — Текст:электронный // Цифровой 3. образовательный ресурс IPR SMART: [сайт]. — URL:https://www.iprbookshop.ru/107208.html</w:t>
      </w:r>
    </w:p>
    <w:p w14:paraId="1674381B" w14:textId="77777777" w:rsidR="000351D3" w:rsidRPr="000351D3" w:rsidRDefault="000351D3" w:rsidP="000351D3">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lastRenderedPageBreak/>
        <w:t>3.</w:t>
      </w:r>
      <w:r w:rsidRPr="000351D3">
        <w:rPr>
          <w:rFonts w:ascii="Times New Roman" w:eastAsia="Calibri" w:hAnsi="Times New Roman" w:cs="Times New Roman"/>
          <w:sz w:val="28"/>
          <w:szCs w:val="28"/>
          <w:lang w:val="kk-KZ"/>
        </w:rPr>
        <w:t xml:space="preserve"> </w:t>
      </w:r>
      <w:r w:rsidRPr="000351D3">
        <w:rPr>
          <w:rFonts w:ascii="Times New Roman" w:hAnsi="Times New Roman" w:cs="Times New Roman"/>
          <w:sz w:val="28"/>
          <w:szCs w:val="28"/>
        </w:rPr>
        <w:t>Сечи Ф. Мощные твердотельные СВЧ-усилители [Электронный ресурс]/ Сечи Ф., Буджатти М.— Электрон. текстовые данные.— М.: Техносфера, 2015. — 416 c.— Режим доступа: http://www.iprbookshop.ru/58863.— ЭБС «IPRbooks»</w:t>
      </w:r>
    </w:p>
    <w:p w14:paraId="039933D6" w14:textId="77777777" w:rsidR="000351D3" w:rsidRPr="000351D3" w:rsidRDefault="000351D3" w:rsidP="000351D3">
      <w:pPr>
        <w:spacing w:after="0" w:line="240" w:lineRule="auto"/>
        <w:ind w:firstLine="709"/>
        <w:jc w:val="both"/>
        <w:rPr>
          <w:rFonts w:ascii="Times New Roman" w:hAnsi="Times New Roman" w:cs="Times New Roman"/>
          <w:b/>
          <w:sz w:val="28"/>
          <w:szCs w:val="28"/>
          <w:lang w:val="kk-KZ"/>
        </w:rPr>
      </w:pPr>
      <w:r w:rsidRPr="000351D3">
        <w:rPr>
          <w:rFonts w:ascii="Times New Roman" w:hAnsi="Times New Roman" w:cs="Times New Roman"/>
          <w:sz w:val="28"/>
          <w:szCs w:val="28"/>
        </w:rPr>
        <w:t xml:space="preserve">4.Байдельдинов У.С., Ибраимов М.К. </w:t>
      </w:r>
      <w:r w:rsidRPr="000351D3">
        <w:rPr>
          <w:rFonts w:ascii="Times New Roman" w:hAnsi="Times New Roman" w:cs="Times New Roman"/>
          <w:b/>
          <w:bCs/>
          <w:sz w:val="28"/>
          <w:szCs w:val="28"/>
        </w:rPr>
        <w:t>С</w:t>
      </w:r>
      <w:r w:rsidRPr="000351D3">
        <w:rPr>
          <w:rFonts w:ascii="Times New Roman" w:hAnsi="Times New Roman" w:cs="Times New Roman"/>
          <w:b/>
          <w:bCs/>
          <w:sz w:val="28"/>
          <w:szCs w:val="28"/>
          <w:lang w:val="kk-KZ"/>
        </w:rPr>
        <w:t>ИГНАЛДАРДЫ ҚАБЫЛДАУ ЖӘНЕ ӨҢДЕУ</w:t>
      </w:r>
      <w:r w:rsidRPr="000351D3">
        <w:rPr>
          <w:rFonts w:ascii="Times New Roman" w:hAnsi="Times New Roman" w:cs="Times New Roman"/>
          <w:b/>
          <w:sz w:val="28"/>
          <w:szCs w:val="28"/>
          <w:lang w:val="kk-KZ"/>
        </w:rPr>
        <w:t xml:space="preserve"> </w:t>
      </w:r>
      <w:r w:rsidRPr="000351D3">
        <w:rPr>
          <w:rFonts w:ascii="Times New Roman" w:hAnsi="Times New Roman" w:cs="Times New Roman"/>
          <w:sz w:val="28"/>
          <w:szCs w:val="28"/>
          <w:lang w:val="kk-KZ"/>
        </w:rPr>
        <w:t>Алматы.Каз Ұу,2019.-350бет</w:t>
      </w:r>
    </w:p>
    <w:p w14:paraId="27664BEC" w14:textId="77777777" w:rsidR="000351D3" w:rsidRPr="000351D3" w:rsidRDefault="000351D3" w:rsidP="000351D3">
      <w:pPr>
        <w:pBdr>
          <w:top w:val="nil"/>
          <w:left w:val="nil"/>
          <w:bottom w:val="nil"/>
          <w:right w:val="nil"/>
          <w:between w:val="nil"/>
        </w:pBd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1A7B5289" w14:textId="77777777" w:rsidR="000351D3" w:rsidRPr="000351D3" w:rsidRDefault="000351D3" w:rsidP="000351D3">
      <w:pPr>
        <w:pStyle w:val="40"/>
        <w:shd w:val="clear" w:color="auto" w:fill="auto"/>
        <w:spacing w:before="0" w:after="0" w:line="240" w:lineRule="auto"/>
        <w:ind w:firstLine="709"/>
        <w:jc w:val="both"/>
        <w:rPr>
          <w:rFonts w:ascii="Times New Roman" w:hAnsi="Times New Roman" w:cs="Times New Roman"/>
          <w:b w:val="0"/>
          <w:bCs w:val="0"/>
          <w:sz w:val="28"/>
          <w:szCs w:val="28"/>
        </w:rPr>
      </w:pPr>
      <w:r w:rsidRPr="000351D3">
        <w:rPr>
          <w:rFonts w:ascii="Times New Roman" w:hAnsi="Times New Roman" w:cs="Times New Roman"/>
          <w:sz w:val="28"/>
          <w:szCs w:val="28"/>
          <w:lang w:val="kk-KZ"/>
        </w:rPr>
        <w:t xml:space="preserve">5. </w:t>
      </w:r>
      <w:r w:rsidRPr="000351D3">
        <w:rPr>
          <w:rFonts w:ascii="Times New Roman" w:hAnsi="Times New Roman" w:cs="Times New Roman"/>
          <w:b w:val="0"/>
          <w:bCs w:val="0"/>
          <w:sz w:val="28"/>
          <w:szCs w:val="28"/>
        </w:rPr>
        <w:t>Банков С.Е. Электродинамика для пользователей САПР СВЧ [Электронный ресурс] : учебник / С.Е. Банков, А.А. Курушин. — Электрон. текстовые данные. — М. : СОЛОН-ПРЕСС, 2017. — 316 c. — 978-5-91359-236- 1. — Режим доступа: http://www.iprbookshop.ru/64934.html</w:t>
      </w:r>
    </w:p>
    <w:p w14:paraId="50E6AB5D" w14:textId="77777777" w:rsidR="000351D3" w:rsidRPr="000351D3" w:rsidRDefault="000351D3" w:rsidP="000351D3">
      <w:pPr>
        <w:spacing w:after="0" w:line="240" w:lineRule="auto"/>
        <w:ind w:firstLine="709"/>
        <w:jc w:val="both"/>
        <w:rPr>
          <w:rFonts w:ascii="Times New Roman" w:hAnsi="Times New Roman" w:cs="Times New Roman"/>
          <w:sz w:val="28"/>
          <w:szCs w:val="28"/>
        </w:rPr>
      </w:pPr>
    </w:p>
    <w:p w14:paraId="60F7352E" w14:textId="77777777" w:rsidR="000B2236" w:rsidRPr="000351D3" w:rsidRDefault="000B2236" w:rsidP="000351D3">
      <w:pPr>
        <w:spacing w:after="0" w:line="240" w:lineRule="auto"/>
        <w:ind w:firstLine="709"/>
        <w:jc w:val="both"/>
        <w:rPr>
          <w:rFonts w:ascii="Times New Roman" w:hAnsi="Times New Roman" w:cs="Times New Roman"/>
          <w:sz w:val="28"/>
          <w:szCs w:val="28"/>
          <w:lang w:val="kk-KZ"/>
        </w:rPr>
      </w:pPr>
    </w:p>
    <w:p w14:paraId="367E1DCF" w14:textId="77777777" w:rsidR="00802C5C" w:rsidRDefault="00802C5C" w:rsidP="000B2236">
      <w:pPr>
        <w:spacing w:after="0" w:line="240" w:lineRule="auto"/>
        <w:jc w:val="right"/>
        <w:rPr>
          <w:rStyle w:val="s0"/>
          <w:rFonts w:ascii="Times New Roman" w:hAnsi="Times New Roman" w:cs="Times New Roman"/>
          <w:i/>
          <w:sz w:val="24"/>
          <w:szCs w:val="24"/>
        </w:rPr>
      </w:pPr>
    </w:p>
    <w:p w14:paraId="00B1E569" w14:textId="77777777" w:rsidR="00802C5C" w:rsidRDefault="00802C5C" w:rsidP="000B2236">
      <w:pPr>
        <w:spacing w:after="0" w:line="240" w:lineRule="auto"/>
        <w:jc w:val="right"/>
        <w:rPr>
          <w:rStyle w:val="s0"/>
          <w:rFonts w:ascii="Times New Roman" w:hAnsi="Times New Roman" w:cs="Times New Roman"/>
          <w:i/>
          <w:sz w:val="24"/>
          <w:szCs w:val="24"/>
        </w:rPr>
      </w:pPr>
    </w:p>
    <w:p w14:paraId="67803EA7" w14:textId="77777777" w:rsidR="00802C5C" w:rsidRDefault="00802C5C" w:rsidP="000B2236">
      <w:pPr>
        <w:spacing w:after="0" w:line="240" w:lineRule="auto"/>
        <w:jc w:val="right"/>
        <w:rPr>
          <w:rStyle w:val="s0"/>
          <w:rFonts w:ascii="Times New Roman" w:hAnsi="Times New Roman" w:cs="Times New Roman"/>
          <w:i/>
          <w:sz w:val="24"/>
          <w:szCs w:val="24"/>
        </w:rPr>
      </w:pPr>
    </w:p>
    <w:p w14:paraId="76B94118" w14:textId="43BA9202"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06DFFC11" w:rsidR="000B2236" w:rsidRPr="00CD7AF0" w:rsidRDefault="000B2236" w:rsidP="001B4904">
      <w:pPr>
        <w:spacing w:after="0" w:line="240" w:lineRule="auto"/>
        <w:ind w:firstLine="709"/>
        <w:jc w:val="both"/>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sidR="001B4904" w:rsidRPr="001B4904">
        <w:t xml:space="preserve"> </w:t>
      </w:r>
      <w:r w:rsidR="001B4904" w:rsidRPr="001B4904">
        <w:rPr>
          <w:rFonts w:ascii="Times New Roman" w:hAnsi="Times New Roman" w:cs="Times New Roman"/>
          <w:b/>
          <w:bCs/>
          <w:sz w:val="20"/>
          <w:szCs w:val="20"/>
        </w:rPr>
        <w:t>Микроволновая электроника в системах  связи</w:t>
      </w:r>
      <w:r w:rsidR="001B4904">
        <w:rPr>
          <w:rFonts w:ascii="Times New Roman" w:hAnsi="Times New Roman" w:cs="Times New Roman"/>
          <w:b/>
          <w:bCs/>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(27-30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(21-26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(15-20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(8-14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(0-7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lastRenderedPageBreak/>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выставляется за ответ, который         содержит полное,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по схемо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 содержит неполное  освещение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(36-40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(35-28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(27-20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(19-10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(0-9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lastRenderedPageBreak/>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 xml:space="preserve">«отлично»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t>3-4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Сети и системы радиосвязи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r>
        <w:rPr>
          <w:rFonts w:ascii="Times New Roman" w:eastAsia="Times New Roman" w:hAnsi="Times New Roman" w:cs="Times New Roman"/>
          <w:b/>
          <w:bCs/>
          <w:sz w:val="20"/>
          <w:szCs w:val="20"/>
        </w:rPr>
        <w:t xml:space="preserve"> Стандартно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90-100</w:t>
            </w:r>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70-89</w:t>
            </w:r>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xml:space="preserve">50-69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0-24</w:t>
            </w:r>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2 и т.д.</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6 и т.д.)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90-100 %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70-89 %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50-69 %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25-49 %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0-24 %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в соответствии с балльно-рейтинговой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0D2865A3" w14:textId="77777777" w:rsidR="00727934" w:rsidRDefault="00727934" w:rsidP="00727934">
      <w:pPr>
        <w:rPr>
          <w:rFonts w:ascii="Times New Roman" w:hAnsi="Times New Roman" w:cs="Times New Roman"/>
          <w:b/>
          <w:bCs/>
          <w:color w:val="000000"/>
          <w:sz w:val="28"/>
          <w:szCs w:val="28"/>
        </w:rPr>
      </w:pPr>
    </w:p>
    <w:p w14:paraId="7B0897DA" w14:textId="77777777" w:rsidR="00727934" w:rsidRDefault="00727934" w:rsidP="00727934">
      <w:pPr>
        <w:rPr>
          <w:rFonts w:ascii="Times New Roman" w:hAnsi="Times New Roman" w:cs="Times New Roman"/>
          <w:b/>
          <w:bCs/>
          <w:color w:val="000000"/>
          <w:sz w:val="28"/>
          <w:szCs w:val="28"/>
        </w:rPr>
      </w:pPr>
    </w:p>
    <w:p w14:paraId="0979660E" w14:textId="77777777" w:rsidR="000351D3" w:rsidRPr="000351D3" w:rsidRDefault="000351D3" w:rsidP="000351D3">
      <w:pPr>
        <w:spacing w:after="0" w:line="240" w:lineRule="auto"/>
        <w:ind w:firstLine="709"/>
        <w:jc w:val="both"/>
        <w:rPr>
          <w:rFonts w:ascii="Times New Roman" w:hAnsi="Times New Roman" w:cs="Times New Roman"/>
          <w:b/>
          <w:bCs/>
          <w:sz w:val="28"/>
          <w:szCs w:val="28"/>
          <w:lang w:val="kk-KZ"/>
        </w:rPr>
      </w:pPr>
      <w:r w:rsidRPr="000351D3">
        <w:rPr>
          <w:rFonts w:ascii="Times New Roman" w:hAnsi="Times New Roman" w:cs="Times New Roman"/>
          <w:b/>
          <w:bCs/>
          <w:sz w:val="28"/>
          <w:szCs w:val="28"/>
          <w:lang w:val="kk-KZ"/>
        </w:rPr>
        <w:t>Емтихан сессиясының бағдарламасы және Рубрикатор пәні: - Жүйедегі микротолқынды электроника</w:t>
      </w:r>
    </w:p>
    <w:p w14:paraId="189A7220" w14:textId="187E618F" w:rsidR="002130C6" w:rsidRDefault="000351D3" w:rsidP="000351D3">
      <w:pPr>
        <w:spacing w:after="0" w:line="240" w:lineRule="auto"/>
        <w:ind w:firstLine="709"/>
        <w:jc w:val="both"/>
        <w:rPr>
          <w:rFonts w:ascii="Times New Roman" w:hAnsi="Times New Roman" w:cs="Times New Roman"/>
          <w:b/>
          <w:bCs/>
          <w:sz w:val="28"/>
          <w:szCs w:val="28"/>
          <w:lang w:val="kk-KZ"/>
        </w:rPr>
      </w:pPr>
      <w:r w:rsidRPr="000351D3">
        <w:rPr>
          <w:rFonts w:ascii="Times New Roman" w:hAnsi="Times New Roman" w:cs="Times New Roman"/>
          <w:b/>
          <w:bCs/>
          <w:sz w:val="28"/>
          <w:szCs w:val="28"/>
          <w:lang w:val="kk-KZ"/>
        </w:rPr>
        <w:t xml:space="preserve"> </w:t>
      </w:r>
      <w:r w:rsidRPr="000351D3">
        <w:rPr>
          <w:rFonts w:ascii="Times New Roman" w:hAnsi="Times New Roman" w:cs="Times New Roman"/>
          <w:b/>
          <w:bCs/>
          <w:sz w:val="28"/>
          <w:szCs w:val="28"/>
          <w:lang w:val="kk-KZ"/>
        </w:rPr>
        <w:t>К</w:t>
      </w:r>
      <w:r w:rsidRPr="000351D3">
        <w:rPr>
          <w:rFonts w:ascii="Times New Roman" w:hAnsi="Times New Roman" w:cs="Times New Roman"/>
          <w:b/>
          <w:bCs/>
          <w:sz w:val="28"/>
          <w:szCs w:val="28"/>
          <w:lang w:val="kk-KZ"/>
        </w:rPr>
        <w:t>оммуникациялар</w:t>
      </w:r>
    </w:p>
    <w:p w14:paraId="7DF38E04" w14:textId="77777777" w:rsidR="000351D3" w:rsidRPr="00E56D4C" w:rsidRDefault="000351D3" w:rsidP="000351D3">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71FE784E"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 Байланыс жүйесіндегі микротолқынды электрониканы анықтауға арналған терминдер</w:t>
      </w:r>
    </w:p>
    <w:p w14:paraId="4A5A367B"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2- Интегралды схемалар (ИК) және олардың классификациясы. IC сериялары 11-20</w:t>
      </w:r>
    </w:p>
    <w:p w14:paraId="01E8E720"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3- IC белгілеу жүйесі. 21-26</w:t>
      </w:r>
    </w:p>
    <w:p w14:paraId="5EF77351"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4- Интегралдық микросхемалардың активті элементтері. Элементтерді оқшаулау әдістері</w:t>
      </w:r>
    </w:p>
    <w:p w14:paraId="4B515006" w14:textId="560FC936" w:rsid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5- Біріктірілген транзисторлар.</w:t>
      </w:r>
    </w:p>
    <w:p w14:paraId="0C675515"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6- Интегралдық диодтар</w:t>
      </w:r>
    </w:p>
    <w:p w14:paraId="7337BCCD"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7- Арнайы мақсаттағы транзисторлық құрылымдар</w:t>
      </w:r>
    </w:p>
    <w:p w14:paraId="3C52EAD3"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8- Жартылай өткізгішті тек оқуға арналған жады құрылғыларының элементтері</w:t>
      </w:r>
    </w:p>
    <w:p w14:paraId="54077F49"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9- Интегралдық микросхемалардың пассивті элементтері</w:t>
      </w:r>
    </w:p>
    <w:p w14:paraId="40719F58" w14:textId="3EAAFD2B" w:rsid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10- Интегралды конденсаторлар мен индуктивтік катушкалар</w:t>
      </w:r>
    </w:p>
    <w:p w14:paraId="32165DA1"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11- Коммутаторлық қосылымдар</w:t>
      </w:r>
    </w:p>
    <w:p w14:paraId="1F12B2B2"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12- Микроэлектрониканың қазіргі даму тенденциялары, Мур заңы</w:t>
      </w:r>
    </w:p>
    <w:p w14:paraId="2B5E1BE6" w14:textId="7E6830F2"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13- «</w:t>
      </w:r>
      <w:r w:rsidR="001B4904">
        <w:rPr>
          <w:rFonts w:ascii="Times New Roman" w:hAnsi="Times New Roman" w:cs="Times New Roman"/>
          <w:sz w:val="28"/>
          <w:szCs w:val="28"/>
          <w:lang w:val="kk-KZ"/>
        </w:rPr>
        <w:t>Улкен</w:t>
      </w:r>
      <w:r w:rsidRPr="000351D3">
        <w:rPr>
          <w:rFonts w:ascii="Times New Roman" w:hAnsi="Times New Roman" w:cs="Times New Roman"/>
          <w:sz w:val="28"/>
          <w:szCs w:val="28"/>
          <w:lang w:val="kk-KZ"/>
        </w:rPr>
        <w:t xml:space="preserve"> Мур» технологияларын дамыту.</w:t>
      </w:r>
    </w:p>
    <w:p w14:paraId="54611A19" w14:textId="77777777" w:rsidR="000351D3" w:rsidRPr="000351D3"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14- «CMOS-тан тыс» бағыттылығы.Микротолқынды IC</w:t>
      </w:r>
    </w:p>
    <w:p w14:paraId="74D03D02" w14:textId="2C331F3A" w:rsidR="00741B04" w:rsidRDefault="000351D3" w:rsidP="000351D3">
      <w:pP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15- Қазіргі микроэлектроникадағы гетероқұрылымдар</w:t>
      </w:r>
    </w:p>
    <w:p w14:paraId="03C49128"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4857C01D" w14:textId="5C4959AB" w:rsidR="001B4904" w:rsidRDefault="001B4904" w:rsidP="001B4904">
      <w:pPr>
        <w:spacing w:after="0" w:line="240" w:lineRule="auto"/>
        <w:ind w:firstLine="709"/>
        <w:jc w:val="both"/>
        <w:rPr>
          <w:rFonts w:ascii="Times New Roman" w:hAnsi="Times New Roman" w:cs="Times New Roman"/>
          <w:b/>
          <w:bCs/>
          <w:sz w:val="28"/>
          <w:szCs w:val="28"/>
          <w:lang w:val="kk-KZ"/>
        </w:rPr>
      </w:pPr>
      <w:r w:rsidRPr="001B4904">
        <w:rPr>
          <w:rFonts w:ascii="Times New Roman" w:hAnsi="Times New Roman" w:cs="Times New Roman"/>
          <w:b/>
          <w:bCs/>
          <w:sz w:val="28"/>
          <w:szCs w:val="28"/>
          <w:lang w:val="kk-KZ"/>
        </w:rPr>
        <w:t>Әдебиеттер: негізгі, қосымша</w:t>
      </w:r>
    </w:p>
    <w:p w14:paraId="34B4DF47" w14:textId="77777777" w:rsidR="001B4904" w:rsidRPr="001B4904" w:rsidRDefault="001B4904" w:rsidP="001B4904">
      <w:pPr>
        <w:spacing w:after="0" w:line="240" w:lineRule="auto"/>
        <w:ind w:firstLine="709"/>
        <w:jc w:val="both"/>
        <w:rPr>
          <w:rFonts w:ascii="Times New Roman" w:hAnsi="Times New Roman" w:cs="Times New Roman"/>
          <w:b/>
          <w:bCs/>
          <w:sz w:val="28"/>
          <w:szCs w:val="28"/>
          <w:lang w:val="kk-KZ"/>
        </w:rPr>
      </w:pPr>
    </w:p>
    <w:p w14:paraId="0698376F" w14:textId="77777777" w:rsidR="001B4904" w:rsidRPr="000351D3" w:rsidRDefault="001B4904" w:rsidP="001B490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0351D3">
        <w:rPr>
          <w:rFonts w:ascii="Times New Roman" w:hAnsi="Times New Roman" w:cs="Times New Roman"/>
          <w:bCs/>
          <w:color w:val="000000" w:themeColor="text1"/>
          <w:sz w:val="28"/>
          <w:szCs w:val="28"/>
          <w:shd w:val="clear" w:color="auto" w:fill="FFFFFF"/>
        </w:rPr>
        <w:t xml:space="preserve">Привести не более 5-7 источников литературы с полным библиографическим описанием. </w:t>
      </w:r>
    </w:p>
    <w:p w14:paraId="1893573F" w14:textId="77777777" w:rsidR="001B4904" w:rsidRPr="000351D3" w:rsidRDefault="001B4904" w:rsidP="001B4904">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 xml:space="preserve">1.Смоленцев, Н. И. Электроника СВЧ : учебное пособие / Н. И. Смоленцев. — Новосибирск: Сибирский государственный университет телекоммуникаций и информатики, 2018. — 137 c. — Текст : электронный // Цифровой образовательный ресурс IPR SMART : [сайт]. — </w:t>
      </w:r>
      <w:hyperlink r:id="rId7" w:history="1">
        <w:r w:rsidRPr="000351D3">
          <w:rPr>
            <w:rStyle w:val="a6"/>
            <w:rFonts w:ascii="Times New Roman" w:hAnsi="Times New Roman"/>
            <w:sz w:val="28"/>
            <w:szCs w:val="28"/>
          </w:rPr>
          <w:t>URL:https://www.iprbookshop.ru/90159.html</w:t>
        </w:r>
      </w:hyperlink>
    </w:p>
    <w:p w14:paraId="6786CF05" w14:textId="77777777" w:rsidR="001B4904" w:rsidRPr="000351D3" w:rsidRDefault="001B4904" w:rsidP="001B4904">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lastRenderedPageBreak/>
        <w:t>2. Микрополосковые резонаторы и СВЧ-устройства на их основе: учебное пособие / Р. Г. Галеев, А. С. Волошин, И. В. Говорун, А. М. Сержантов. — Красноярск : Сибирский государственный университет науки и технологий имени академика М.Ф. Решетнева, 2020. — 166 c. — Текст:электронный // Цифровой 3. образовательный ресурс IPR SMART: [сайт]. — URL:https://www.iprbookshop.ru/107208.html</w:t>
      </w:r>
    </w:p>
    <w:p w14:paraId="39C0E96E" w14:textId="77777777" w:rsidR="001B4904" w:rsidRPr="000351D3" w:rsidRDefault="001B4904" w:rsidP="001B4904">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0351D3">
        <w:rPr>
          <w:rFonts w:ascii="Times New Roman" w:hAnsi="Times New Roman" w:cs="Times New Roman"/>
          <w:sz w:val="28"/>
          <w:szCs w:val="28"/>
        </w:rPr>
        <w:t>3.</w:t>
      </w:r>
      <w:r w:rsidRPr="000351D3">
        <w:rPr>
          <w:rFonts w:ascii="Times New Roman" w:eastAsia="Calibri" w:hAnsi="Times New Roman" w:cs="Times New Roman"/>
          <w:sz w:val="28"/>
          <w:szCs w:val="28"/>
          <w:lang w:val="kk-KZ"/>
        </w:rPr>
        <w:t xml:space="preserve"> </w:t>
      </w:r>
      <w:r w:rsidRPr="000351D3">
        <w:rPr>
          <w:rFonts w:ascii="Times New Roman" w:hAnsi="Times New Roman" w:cs="Times New Roman"/>
          <w:sz w:val="28"/>
          <w:szCs w:val="28"/>
        </w:rPr>
        <w:t>Сечи Ф. Мощные твердотельные СВЧ-усилители [Электронный ресурс]/ Сечи Ф., Буджатти М.— Электрон. текстовые данные.— М.: Техносфера, 2015. — 416 c.— Режим доступа: http://www.iprbookshop.ru/58863.— ЭБС «IPRbooks»</w:t>
      </w:r>
    </w:p>
    <w:p w14:paraId="38C7E90B" w14:textId="77777777" w:rsidR="001B4904" w:rsidRPr="000351D3" w:rsidRDefault="001B4904" w:rsidP="001B4904">
      <w:pPr>
        <w:spacing w:after="0" w:line="240" w:lineRule="auto"/>
        <w:ind w:firstLine="709"/>
        <w:jc w:val="both"/>
        <w:rPr>
          <w:rFonts w:ascii="Times New Roman" w:hAnsi="Times New Roman" w:cs="Times New Roman"/>
          <w:b/>
          <w:sz w:val="28"/>
          <w:szCs w:val="28"/>
          <w:lang w:val="kk-KZ"/>
        </w:rPr>
      </w:pPr>
      <w:r w:rsidRPr="000351D3">
        <w:rPr>
          <w:rFonts w:ascii="Times New Roman" w:hAnsi="Times New Roman" w:cs="Times New Roman"/>
          <w:sz w:val="28"/>
          <w:szCs w:val="28"/>
        </w:rPr>
        <w:t xml:space="preserve">4.Байдельдинов У.С., Ибраимов М.К. </w:t>
      </w:r>
      <w:r w:rsidRPr="000351D3">
        <w:rPr>
          <w:rFonts w:ascii="Times New Roman" w:hAnsi="Times New Roman" w:cs="Times New Roman"/>
          <w:b/>
          <w:bCs/>
          <w:sz w:val="28"/>
          <w:szCs w:val="28"/>
        </w:rPr>
        <w:t>С</w:t>
      </w:r>
      <w:r w:rsidRPr="000351D3">
        <w:rPr>
          <w:rFonts w:ascii="Times New Roman" w:hAnsi="Times New Roman" w:cs="Times New Roman"/>
          <w:b/>
          <w:bCs/>
          <w:sz w:val="28"/>
          <w:szCs w:val="28"/>
          <w:lang w:val="kk-KZ"/>
        </w:rPr>
        <w:t>ИГНАЛДАРДЫ ҚАБЫЛДАУ ЖӘНЕ ӨҢДЕУ</w:t>
      </w:r>
      <w:r w:rsidRPr="000351D3">
        <w:rPr>
          <w:rFonts w:ascii="Times New Roman" w:hAnsi="Times New Roman" w:cs="Times New Roman"/>
          <w:b/>
          <w:sz w:val="28"/>
          <w:szCs w:val="28"/>
          <w:lang w:val="kk-KZ"/>
        </w:rPr>
        <w:t xml:space="preserve"> </w:t>
      </w:r>
      <w:r w:rsidRPr="000351D3">
        <w:rPr>
          <w:rFonts w:ascii="Times New Roman" w:hAnsi="Times New Roman" w:cs="Times New Roman"/>
          <w:sz w:val="28"/>
          <w:szCs w:val="28"/>
          <w:lang w:val="kk-KZ"/>
        </w:rPr>
        <w:t>Алматы.Каз Ұу,2019.-350бет</w:t>
      </w:r>
    </w:p>
    <w:p w14:paraId="68441ACB" w14:textId="77777777" w:rsidR="001B4904" w:rsidRPr="000351D3" w:rsidRDefault="001B4904" w:rsidP="001B4904">
      <w:pPr>
        <w:pBdr>
          <w:top w:val="nil"/>
          <w:left w:val="nil"/>
          <w:bottom w:val="nil"/>
          <w:right w:val="nil"/>
          <w:between w:val="nil"/>
        </w:pBdr>
        <w:spacing w:after="0" w:line="240" w:lineRule="auto"/>
        <w:ind w:firstLine="709"/>
        <w:jc w:val="both"/>
        <w:rPr>
          <w:rFonts w:ascii="Times New Roman" w:hAnsi="Times New Roman" w:cs="Times New Roman"/>
          <w:sz w:val="28"/>
          <w:szCs w:val="28"/>
          <w:lang w:val="kk-KZ"/>
        </w:rPr>
      </w:pPr>
      <w:r w:rsidRPr="000351D3">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17C4C8BF" w14:textId="77777777" w:rsidR="001B4904" w:rsidRPr="000351D3" w:rsidRDefault="001B4904" w:rsidP="001B4904">
      <w:pPr>
        <w:pStyle w:val="40"/>
        <w:shd w:val="clear" w:color="auto" w:fill="auto"/>
        <w:spacing w:before="0" w:after="0" w:line="240" w:lineRule="auto"/>
        <w:ind w:firstLine="709"/>
        <w:jc w:val="both"/>
        <w:rPr>
          <w:rFonts w:ascii="Times New Roman" w:hAnsi="Times New Roman" w:cs="Times New Roman"/>
          <w:b w:val="0"/>
          <w:bCs w:val="0"/>
          <w:sz w:val="28"/>
          <w:szCs w:val="28"/>
        </w:rPr>
      </w:pPr>
      <w:r w:rsidRPr="000351D3">
        <w:rPr>
          <w:rFonts w:ascii="Times New Roman" w:hAnsi="Times New Roman" w:cs="Times New Roman"/>
          <w:sz w:val="28"/>
          <w:szCs w:val="28"/>
          <w:lang w:val="kk-KZ"/>
        </w:rPr>
        <w:t xml:space="preserve">5. </w:t>
      </w:r>
      <w:r w:rsidRPr="000351D3">
        <w:rPr>
          <w:rFonts w:ascii="Times New Roman" w:hAnsi="Times New Roman" w:cs="Times New Roman"/>
          <w:b w:val="0"/>
          <w:bCs w:val="0"/>
          <w:sz w:val="28"/>
          <w:szCs w:val="28"/>
        </w:rPr>
        <w:t>Банков С.Е. Электродинамика для пользователей САПР СВЧ [Электронный ресурс] : учебник / С.Е. Банков, А.А. Курушин. — Электрон. текстовые данные. — М. : СОЛОН-ПРЕСС, 2017. — 316 c. — 978-5-91359-236- 1. — Режим доступа: http://www.iprbookshop.ru/64934.html</w:t>
      </w:r>
    </w:p>
    <w:p w14:paraId="7C83CBED" w14:textId="77777777" w:rsidR="003508FC" w:rsidRPr="001B4904" w:rsidRDefault="003508FC" w:rsidP="00E56D4C">
      <w:pPr>
        <w:spacing w:after="0" w:line="240" w:lineRule="auto"/>
        <w:ind w:firstLine="709"/>
        <w:jc w:val="both"/>
        <w:rPr>
          <w:rFonts w:ascii="Times New Roman" w:hAnsi="Times New Roman" w:cs="Times New Roman"/>
          <w:sz w:val="28"/>
          <w:szCs w:val="28"/>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71582E37" w14:textId="6EC72EA5" w:rsidR="003508FC" w:rsidRDefault="003508FC" w:rsidP="001B4904">
      <w:pPr>
        <w:spacing w:after="0" w:line="240" w:lineRule="auto"/>
        <w:rPr>
          <w:rFonts w:ascii="Times New Roman" w:eastAsia="Times New Roman" w:hAnsi="Times New Roman" w:cs="Times New Roman"/>
          <w:b/>
          <w:bCs/>
          <w:sz w:val="20"/>
          <w:szCs w:val="20"/>
          <w:lang w:val="en-US" w:eastAsia="ru-RU"/>
        </w:rPr>
      </w:pPr>
      <w:r w:rsidRPr="00AE5A91">
        <w:rPr>
          <w:rFonts w:ascii="Times New Roman" w:eastAsia="Times New Roman" w:hAnsi="Times New Roman" w:cs="Times New Roman"/>
          <w:b/>
          <w:bCs/>
          <w:sz w:val="20"/>
          <w:szCs w:val="20"/>
          <w:lang w:val="kk-KZ" w:eastAsia="ru-RU"/>
        </w:rPr>
        <w:t>Пән</w:t>
      </w:r>
      <w:r w:rsidRPr="00AE5A91">
        <w:rPr>
          <w:rFonts w:ascii="Times New Roman" w:eastAsia="Times New Roman" w:hAnsi="Times New Roman" w:cs="Times New Roman"/>
          <w:sz w:val="20"/>
          <w:szCs w:val="20"/>
          <w:lang w:eastAsia="ru-RU"/>
        </w:rPr>
        <w:t>:</w:t>
      </w:r>
      <w:r w:rsidR="001B4904" w:rsidRPr="001B4904">
        <w:rPr>
          <w:rFonts w:ascii="Times New Roman" w:eastAsia="Times New Roman" w:hAnsi="Times New Roman" w:cs="Times New Roman"/>
          <w:b/>
          <w:bCs/>
          <w:sz w:val="20"/>
          <w:szCs w:val="20"/>
        </w:rPr>
        <w:t xml:space="preserve"> </w:t>
      </w:r>
      <w:r w:rsidR="001B4904" w:rsidRPr="001B4904">
        <w:rPr>
          <w:rFonts w:ascii="Times New Roman" w:eastAsia="Times New Roman" w:hAnsi="Times New Roman" w:cs="Times New Roman"/>
          <w:b/>
          <w:bCs/>
          <w:sz w:val="20"/>
          <w:szCs w:val="20"/>
        </w:rPr>
        <w:t>Жүйелердегі микротолқынды электроника</w:t>
      </w:r>
      <w:r w:rsidR="001B4904">
        <w:rPr>
          <w:rFonts w:ascii="Times New Roman" w:eastAsia="Times New Roman" w:hAnsi="Times New Roman" w:cs="Times New Roman"/>
          <w:b/>
          <w:bCs/>
          <w:sz w:val="20"/>
          <w:szCs w:val="20"/>
        </w:rPr>
        <w:t xml:space="preserve"> </w:t>
      </w:r>
      <w:r w:rsidR="001B4904" w:rsidRPr="001B4904">
        <w:rPr>
          <w:rFonts w:ascii="Times New Roman" w:eastAsia="Times New Roman" w:hAnsi="Times New Roman" w:cs="Times New Roman"/>
          <w:b/>
          <w:bCs/>
          <w:sz w:val="20"/>
          <w:szCs w:val="20"/>
        </w:rPr>
        <w:t xml:space="preserve"> коммуникациялар.</w:t>
      </w:r>
      <w:r w:rsidRPr="00AE5A91">
        <w:rPr>
          <w:rFonts w:ascii="Times New Roman" w:eastAsia="Times New Roman" w:hAnsi="Times New Roman" w:cs="Times New Roman"/>
          <w:sz w:val="20"/>
          <w:szCs w:val="20"/>
          <w:lang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lang w:eastAsia="ru-RU"/>
        </w:rPr>
        <w:t>Стандартты</w:t>
      </w:r>
      <w:r w:rsidRPr="00026DDB">
        <w:rPr>
          <w:rFonts w:ascii="Times New Roman" w:eastAsia="Times New Roman" w:hAnsi="Times New Roman" w:cs="Times New Roman"/>
          <w:sz w:val="20"/>
          <w:szCs w:val="20"/>
          <w:lang w:eastAsia="ru-RU"/>
        </w:rPr>
        <w:t xml:space="preserve"> </w:t>
      </w:r>
      <w:r w:rsidRPr="00026DDB">
        <w:rPr>
          <w:rFonts w:ascii="Times New Roman" w:eastAsia="Times New Roman" w:hAnsi="Times New Roman" w:cs="Times New Roman"/>
          <w:b/>
          <w:bCs/>
          <w:sz w:val="20"/>
          <w:szCs w:val="20"/>
          <w:u w:val="single"/>
          <w:lang w:eastAsia="ru-RU"/>
        </w:rPr>
        <w:t>жазбаша түрде</w:t>
      </w:r>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679171A8" w14:textId="77777777" w:rsidR="001B4904" w:rsidRPr="00BD3627" w:rsidRDefault="001B4904" w:rsidP="001B4904">
      <w:pPr>
        <w:spacing w:after="0" w:line="240" w:lineRule="auto"/>
        <w:rPr>
          <w:rFonts w:ascii="Times New Roman" w:eastAsia="Times New Roman" w:hAnsi="Times New Roman" w:cs="Times New Roman"/>
          <w:b/>
          <w:bCs/>
          <w:sz w:val="20"/>
          <w:szCs w:val="20"/>
          <w:lang w:eastAsia="ru-RU"/>
        </w:rPr>
      </w:pP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r w:rsidRPr="00C82761">
              <w:rPr>
                <w:rFonts w:ascii="Times New Roman" w:eastAsia="MGCEF+ArialMT" w:hAnsi="Times New Roman" w:cs="Times New Roman"/>
                <w:color w:val="000000"/>
                <w:spacing w:val="1"/>
                <w:sz w:val="18"/>
                <w:szCs w:val="18"/>
              </w:rPr>
              <w:t>зірленген жазбаларынан мысалдармен теориялық ойлары көрсет</w:t>
            </w:r>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Қойылған сұрақтарды дұрыс қамтымау, қате дәлелдеу, фактілік және сөздік қателер, дұрыс емес қорытындыны болжау.</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Негізгі ұғымдарды, теорияларды білмеу...; Қорытынды бақылауды өткізу ережесін бұзу.</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sidRPr="00C82761">
              <w:rPr>
                <w:rFonts w:ascii="Times New Roman" w:eastAsia="QOVFH+ArialMT" w:hAnsi="Times New Roman" w:cs="Times New Roman"/>
                <w:b/>
                <w:bCs/>
                <w:color w:val="000000"/>
                <w:sz w:val="18"/>
                <w:szCs w:val="18"/>
              </w:rPr>
              <w:t>Таңдалған әдістеме мен технологияны нақты практикалық тапсырмаларға қолдану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r w:rsidRPr="00936107">
              <w:rPr>
                <w:rFonts w:ascii="Times New Roman" w:eastAsia="MGCEF+ArialMT"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z w:val="18"/>
                <w:szCs w:val="18"/>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фрагменттелген, логикалық дәйектілікті бұза отырып, нақты және семантикалық дәлсіздіктерге жол беріледі, курстың теориялық білімі </w:t>
            </w:r>
            <w:r w:rsidRPr="00C82761">
              <w:rPr>
                <w:rFonts w:ascii="Times New Roman" w:eastAsia="MGCEF+ArialMT" w:hAnsi="Times New Roman" w:cs="Times New Roman"/>
                <w:color w:val="000000"/>
                <w:spacing w:val="3"/>
                <w:sz w:val="18"/>
                <w:szCs w:val="18"/>
                <w:lang w:val="kk-KZ"/>
              </w:rPr>
              <w:t>ү</w:t>
            </w:r>
            <w:r w:rsidRPr="00C82761">
              <w:rPr>
                <w:rFonts w:ascii="Times New Roman" w:eastAsia="MGCEF+ArialMT" w:hAnsi="Times New Roman" w:cs="Times New Roman"/>
                <w:color w:val="000000"/>
                <w:spacing w:val="3"/>
                <w:sz w:val="18"/>
                <w:szCs w:val="18"/>
              </w:rPr>
              <w:t>стірт қолданылады.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w:t>
            </w:r>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1"/>
                <w:sz w:val="18"/>
                <w:szCs w:val="18"/>
              </w:rPr>
              <w:t xml:space="preserve">Тапсырмаларды шешу үшін білімді, алгоритмдерді қолдана алмау; қорытынды және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жасай алмау. Қорытынды бақылау жүргізу қағидаларын бұзу.</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(36-40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(35-28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(27-20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(19-10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(0-9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pacing w:val="1"/>
                <w:sz w:val="18"/>
                <w:szCs w:val="18"/>
              </w:rPr>
              <w:t xml:space="preserve">Таңдалған </w:t>
            </w:r>
            <w:r w:rsidRPr="00C82761">
              <w:rPr>
                <w:rFonts w:ascii="Times New Roman" w:eastAsia="QOVFH+ArialMT" w:hAnsi="Times New Roman" w:cs="Times New Roman"/>
                <w:b/>
                <w:bCs/>
                <w:color w:val="000000"/>
                <w:spacing w:val="1"/>
                <w:sz w:val="18"/>
                <w:szCs w:val="18"/>
                <w:lang w:val="kk-KZ"/>
              </w:rPr>
              <w:t>ә</w:t>
            </w:r>
            <w:r w:rsidRPr="00C82761">
              <w:rPr>
                <w:rFonts w:ascii="Times New Roman" w:eastAsia="QOVFH+ArialMT" w:hAnsi="Times New Roman" w:cs="Times New Roman"/>
                <w:b/>
                <w:bCs/>
                <w:color w:val="000000"/>
                <w:spacing w:val="1"/>
                <w:sz w:val="18"/>
                <w:szCs w:val="18"/>
              </w:rPr>
              <w:t>дістеменің ұсынылған практикалық тапсырмаға қолданылуын бағалау және талдау, алынған нәтиженің негіздемесі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r w:rsidRPr="00936107">
              <w:rPr>
                <w:rFonts w:ascii="Times New Roman" w:hAnsi="Times New Roman" w:cs="Times New Roman"/>
                <w:color w:val="000000"/>
                <w:sz w:val="18"/>
                <w:szCs w:val="18"/>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r w:rsidRPr="00C82761">
              <w:rPr>
                <w:rFonts w:ascii="Times New Roman" w:eastAsia="MGCEF+ArialMT" w:hAnsi="Times New Roman" w:cs="Times New Roman"/>
                <w:color w:val="000000"/>
                <w:spacing w:val="1"/>
                <w:sz w:val="18"/>
                <w:szCs w:val="18"/>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r w:rsidRPr="00C82761">
              <w:rPr>
                <w:rFonts w:ascii="Times New Roman" w:eastAsia="MGCEF+ArialMT" w:hAnsi="Times New Roman" w:cs="Times New Roman"/>
                <w:color w:val="000000"/>
                <w:sz w:val="18"/>
                <w:szCs w:val="18"/>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027FEA5F" w14:textId="77777777" w:rsidR="00741B04" w:rsidRPr="00C82761" w:rsidRDefault="00741B04" w:rsidP="00741B04">
      <w:pPr>
        <w:rPr>
          <w:rFonts w:ascii="Times New Roman" w:hAnsi="Times New Roman" w:cs="Times New Roman"/>
          <w:sz w:val="18"/>
          <w:szCs w:val="18"/>
        </w:rPr>
      </w:pPr>
    </w:p>
    <w:p w14:paraId="6DC07E70" w14:textId="77777777" w:rsidR="00741B04" w:rsidRPr="00C82761" w:rsidRDefault="00741B04" w:rsidP="00741B04">
      <w:pPr>
        <w:rPr>
          <w:rFonts w:ascii="Times New Roman" w:hAnsi="Times New Roman" w:cs="Times New Roman"/>
          <w:sz w:val="18"/>
          <w:szCs w:val="18"/>
        </w:rPr>
      </w:pPr>
      <w:r w:rsidRPr="00C82761">
        <w:rPr>
          <w:rFonts w:ascii="KPSPR+TimesNewRomanPSMT" w:eastAsia="KPSPR+TimesNewRomanPSMT" w:hAnsi="KPSPR+TimesNewRomanPSMT" w:cs="KPSPR+TimesNewRomanPSMT"/>
          <w:color w:val="000000"/>
          <w:spacing w:val="1"/>
          <w:w w:val="103"/>
          <w:sz w:val="18"/>
          <w:szCs w:val="18"/>
        </w:rPr>
        <w:t>Емтихан билеттері 3 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тапсырмалар</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ішінде</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бірінші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екінші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p>
    <w:sectPr w:rsidR="00741B04" w:rsidRPr="00C82761" w:rsidSect="00802C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200142">
    <w:abstractNumId w:val="1"/>
  </w:num>
  <w:num w:numId="2" w16cid:durableId="8542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351D3"/>
    <w:rsid w:val="000B2236"/>
    <w:rsid w:val="001B4904"/>
    <w:rsid w:val="002130C6"/>
    <w:rsid w:val="003508FC"/>
    <w:rsid w:val="004C0E85"/>
    <w:rsid w:val="00727934"/>
    <w:rsid w:val="00741B04"/>
    <w:rsid w:val="007A37A3"/>
    <w:rsid w:val="00802C5C"/>
    <w:rsid w:val="0086575B"/>
    <w:rsid w:val="00936107"/>
    <w:rsid w:val="0095425B"/>
    <w:rsid w:val="00AA65CC"/>
    <w:rsid w:val="00BD3627"/>
    <w:rsid w:val="00BF074F"/>
    <w:rsid w:val="00E56D4C"/>
    <w:rsid w:val="00E7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 w:type="character" w:styleId="a6">
    <w:name w:val="Hyperlink"/>
    <w:uiPriority w:val="99"/>
    <w:rsid w:val="000351D3"/>
    <w:rPr>
      <w:rFonts w:cs="Times New Roman"/>
      <w:color w:val="auto"/>
      <w:u w:val="none"/>
      <w:effect w:val="none"/>
    </w:rPr>
  </w:style>
  <w:style w:type="character" w:customStyle="1" w:styleId="4">
    <w:name w:val="Основной текст (4)_"/>
    <w:basedOn w:val="a0"/>
    <w:link w:val="40"/>
    <w:rsid w:val="000351D3"/>
    <w:rPr>
      <w:b/>
      <w:bCs/>
      <w:shd w:val="clear" w:color="auto" w:fill="FFFFFF"/>
    </w:rPr>
  </w:style>
  <w:style w:type="paragraph" w:customStyle="1" w:styleId="40">
    <w:name w:val="Основной текст (4)"/>
    <w:basedOn w:val="a"/>
    <w:link w:val="4"/>
    <w:rsid w:val="000351D3"/>
    <w:pPr>
      <w:widowControl w:val="0"/>
      <w:shd w:val="clear" w:color="auto" w:fill="FFFFFF"/>
      <w:spacing w:before="420" w:after="3120" w:line="0" w:lineRule="atLeast"/>
      <w:ind w:hanging="15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URL:https://www.iprbookshop.ru/9015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RL:https://www.iprbookshop.ru/9015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Байдельдинов Уакаскан</cp:lastModifiedBy>
  <cp:revision>3</cp:revision>
  <dcterms:created xsi:type="dcterms:W3CDTF">2023-10-28T02:49:00Z</dcterms:created>
  <dcterms:modified xsi:type="dcterms:W3CDTF">2023-10-28T03:17:00Z</dcterms:modified>
</cp:coreProperties>
</file>